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ectPr>
          <w:headerReference w:type="default" r:id="rId9"/>
          <w:pgSz w:w="12240" w:h="15840"/>
          <w:pgMar w:top="1440" w:right="1800" w:bottom="1440" w:left="1800" w:header="720" w:footer="720" w:gutter="0"/>
          <w:cols w:space="720"/>
          <w:docGrid w:linePitch="360"/>
        </w:sectPr>
      </w:pPr>
    </w:p>
    <w:p>
      <w:pPr>
        <w:pStyle w:val="Heading1"/>
      </w:pPr>
      <w:r>
        <w:rPr>
          <w:b/>
          <w:color w:val="000000"/>
          <w:sz w:val="44"/>
        </w:rPr>
        <w:bookmarkStart w:id="1" w:name="h_potential_analysis_num"/>
        <w:t xml:space="preserve">1 </w:t>
        <w:bookmarkEnd w:id="1"/>
      </w:r>
      <w:r>
        <w:rPr>
          <w:b/>
          <w:color w:val="000000"/>
          <w:sz w:val="44"/>
        </w:rPr>
        <w:t>Potential analysis</w:t>
      </w:r>
    </w:p>
    <w:p>
      <w:pPr>
        <w:pStyle w:val="Heading2"/>
      </w:pPr>
      <w:r>
        <w:rPr>
          <w:b/>
          <w:color w:val="000000"/>
          <w:sz w:val="36"/>
        </w:rPr>
        <w:bookmarkStart w:id="1" w:name="h_potential_analysis_land_use_num"/>
        <w:t xml:space="preserve">1.1 </w:t>
        <w:bookmarkEnd w:id="1"/>
      </w:r>
      <w:r>
        <w:rPr>
          <w:b/>
          <w:color w:val="000000"/>
          <w:sz w:val="36"/>
        </w:rPr>
        <w:t>Land use</w:t>
      </w:r>
    </w:p>
    <w:p>
      <w:pPr>
        <w:jc w:val="both"/>
      </w:pPr>
      <w:r>
        <w:t>The use of renewable energy sources is often land-dependent, which makes the available areas surrounding the district a key boundary condition of the potential analysis. An evaluation of the land use classes therefore provides an initial overview of the spatial structure of the analysis area. The distribution of built-up, vegetation, agricultural and water areas allows conclusions to be drawn regarding generally suitable locations for the individual technologies, for example unsealed areas for borehole heat exchangers and horizontal ground collectors, open spaces for solar thermal and photovoltaic systems, or forest and agricultural areas for the supply of biomass.</w:t>
      </w:r>
    </w:p>
    <w:p>
      <w:pPr>
        <w:jc w:val="both"/>
      </w:pPr>
      <w:r>
        <w:t>Within the analysis radius of 5,000 m around the district, 100,0 % of the area is described by land cover data. A total of 12 land use classes occur. The dominant class is 211 - Nicht bewässertes Ackerland with a share of 35,9 %. The largest classes are listed in the following table.</w:t>
      </w:r>
    </w:p>
    <w:p>
      <w:pPr>
        <w:pStyle w:val="CaptionStyle"/>
        <w:spacing w:before="40" w:after="0"/>
        <w:jc w:val="center"/>
      </w:pPr>
      <w:r>
        <w:t xml:space="preserve">Table </w:t>
      </w:r>
      <w:bookmarkStart w:id="154" w:name="potential_analysis_land_use_num"/>
      <w:fldSimple w:instr="SEQ Tabelle \* ARABIC">
        <w:r>
          <w:t>1</w:t>
        </w:r>
      </w:fldSimple>
      <w:bookmarkEnd w:id="154"/>
      <w:bookmarkStart w:id="potential_analysis_land_use" w:name="potential_analysis_land_use"/>
      <w:r/>
      <w:bookmarkEnd w:id="potential_analysis_land_use"/>
      <w:r>
        <w:t>: Potenzialanalyse: Flächennutzung</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Land use class</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Area</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Share of analysis area</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211 - Non-irrigated arable land</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2,817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35.9 %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112 - Discontinuous urban fabric</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2,375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30.3 %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121 - Industrial or commercial units</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1,175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15.0 %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311 - Broad-leaved forest</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411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5.2 %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142 - Sport and leisure facilities</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369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4.7 %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141 - Green urban areas</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238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3.0 %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231 - Pastures</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157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512 - Water bodies</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80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1.0 %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111 - Continuous urban fabric</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80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131 - Mineral extraction sites</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68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0.9 %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Other classes (2)</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72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0.9 %</w:t>
            </w:r>
          </w:p>
        </w:tc>
      </w:tr>
    </w:tbl>
    <w:p/>
    <w:p>
      <w:pPr>
        <w:pStyle w:val="Heading2"/>
      </w:pPr>
      <w:r>
        <w:rPr>
          <w:b/>
          <w:color w:val="000000"/>
          <w:sz w:val="36"/>
        </w:rPr>
        <w:bookmarkStart w:id="1" w:name="h_potential_analysis_natural_sources_num"/>
        <w:t xml:space="preserve">1.2 </w:t>
        <w:bookmarkEnd w:id="1"/>
      </w:r>
      <w:r>
        <w:rPr>
          <w:b/>
          <w:color w:val="000000"/>
          <w:sz w:val="36"/>
        </w:rPr>
        <w:t>Natural heat sources</w:t>
      </w:r>
    </w:p>
    <w:p>
      <w:pPr>
        <w:pStyle w:val="Heading3"/>
      </w:pPr>
      <w:r>
        <w:rPr>
          <w:b/>
          <w:color w:val="000000"/>
          <w:sz w:val="32"/>
        </w:rPr>
        <w:bookmarkStart w:id="1" w:name="h_potential_analysis_surface_water_num"/>
        <w:t xml:space="preserve">1.2.1 </w:t>
        <w:bookmarkEnd w:id="1"/>
      </w:r>
      <w:r>
        <w:rPr>
          <w:b/>
          <w:color w:val="000000"/>
          <w:sz w:val="32"/>
        </w:rPr>
        <w:t>Surface water bodies</w:t>
      </w:r>
    </w:p>
    <w:p>
      <w:pPr>
        <w:jc w:val="both"/>
      </w:pPr>
      <w:r>
        <w:t>Surface water bodies can be used as a heat source for large-scale heat pumps or for direct cooling. Compared to ambient air, they offer a higher heat capacity and a more stable temperature level, which increases the seasonal performance factor and reduces the peak load. Rivers and lakes close to the district are therefore of particular interest for thermal use. Key boundary conditions are the water rights permit, the permissible temperature difference of the return flow and the ecological requirements of the respective water body.</w:t>
      </w:r>
    </w:p>
    <w:p>
      <w:pPr>
        <w:jc w:val="both"/>
      </w:pPr>
      <w:r>
        <w:t>Within the analysis radius of 2,000 m around the district, 20 surface water bodies with a total area of 37.838 m² were identified. The water body closest to the district is located at a distance of 166 m. 17 of the water bodies are located within water protection areas. The identified potentials are listed in the following table.</w:t>
      </w:r>
    </w:p>
    <w:p>
      <w:pPr>
        <w:pStyle w:val="CaptionStyle"/>
        <w:spacing w:before="40" w:after="0"/>
        <w:jc w:val="center"/>
      </w:pPr>
      <w:r>
        <w:t xml:space="preserve">Table </w:t>
      </w:r>
      <w:bookmarkStart w:id="935" w:name="potential_analysis_surface_water_num"/>
      <w:fldSimple w:instr="SEQ Tabelle \* ARABIC">
        <w:r>
          <w:t>2</w:t>
        </w:r>
      </w:fldSimple>
      <w:bookmarkEnd w:id="935"/>
      <w:bookmarkStart w:id="potential_analysis_surface_water" w:name="potential_analysis_surface_water"/>
      <w:r/>
      <w:bookmarkEnd w:id="potential_analysis_surface_water"/>
      <w:r>
        <w:t>: Potenzialanalyse: Oberflächengewässer</w:t>
      </w:r>
    </w:p>
    <w:tbl>
      <w:tblPr>
        <w:tblW w:type="auto" w:w="0"/>
        <w:jc w:val="center"/>
        <w:tblLook w:firstColumn="1" w:firstRow="1" w:lastColumn="0" w:lastRow="0" w:noHBand="0" w:noVBand="1" w:val="04A0"/>
      </w:tblPr>
      <w:tblGrid>
        <w:gridCol w:w="2160"/>
        <w:gridCol w:w="2160"/>
        <w:gridCol w:w="2160"/>
        <w:gridCol w:w="2160"/>
      </w:tblGrid>
      <w:tr>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Water body (name)</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Area (river width if applicable)</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Distance to district</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in drinking water protection area</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205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166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127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812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91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830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3,941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1,053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1,942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1,075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1,840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1,094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Reservoir</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1,273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1,183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475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1,198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5,478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1,213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3,525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1,225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2,189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1,325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234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1,367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Rückhaltebecken, Basin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4,162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1,424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Absetzbecken, Basin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404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1,526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1,532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1,579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2,611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1,599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Pond</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3,111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1,653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2,020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1,656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Basin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2,090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1,742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(within)</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Reservoir</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590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1,887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(intersects)</w:t>
            </w:r>
          </w:p>
        </w:tc>
      </w:tr>
    </w:tbl>
    <w:p/>
    <w:p>
      <w:pPr>
        <w:pStyle w:val="Heading3"/>
      </w:pPr>
      <w:r>
        <w:rPr>
          <w:b/>
          <w:color w:val="000000"/>
          <w:sz w:val="32"/>
        </w:rPr>
        <w:bookmarkStart w:id="1" w:name="h_potential_analysis_solarthermal_num"/>
        <w:t xml:space="preserve">1.2.2 </w:t>
        <w:bookmarkEnd w:id="1"/>
      </w:r>
      <w:r>
        <w:rPr>
          <w:b/>
          <w:color w:val="000000"/>
          <w:sz w:val="32"/>
        </w:rPr>
        <w:t>Solar thermal energy</w:t>
      </w:r>
    </w:p>
    <w:p>
      <w:pPr>
        <w:jc w:val="both"/>
      </w:pPr>
      <w:r>
        <w:t>Solar thermal systems allow solar-generated heat to be fed into heat networks. A relevant design parameter is the global horizontal irradiation at the site, which together with the network supply temperature and the collector type influences the area-specific heat yield.</w:t>
      </w:r>
    </w:p>
    <w:p>
      <w:pPr>
        <w:jc w:val="both"/>
      </w:pPr>
      <w:r>
        <w:t>The annual global horizontal irradiation at the site amounts to 1.088 kWh/(m²·a). On this basis, the annual area-specific heat yields were calculated for standard flat plate collectors with southern orientation and a tilt angle of 30° for three exemplary collector temperatures. The yields for the individual temperature levels are listed in the following table.</w:t>
      </w:r>
    </w:p>
    <w:p>
      <w:pPr>
        <w:pStyle w:val="CaptionStyle"/>
        <w:spacing w:before="40" w:after="0"/>
        <w:jc w:val="center"/>
      </w:pPr>
      <w:r>
        <w:t xml:space="preserve">Table </w:t>
      </w:r>
      <w:bookmarkStart w:id="315" w:name="potential_analysis_solarthermal_num"/>
      <w:fldSimple w:instr="SEQ Tabelle \* ARABIC">
        <w:r>
          <w:t>3</w:t>
        </w:r>
      </w:fldSimple>
      <w:bookmarkEnd w:id="315"/>
      <w:bookmarkStart w:id="potential_analysis_solarthermal" w:name="potential_analysis_solarthermal"/>
      <w:r/>
      <w:bookmarkEnd w:id="potential_analysis_solarthermal"/>
      <w:r>
        <w:t>: Potenzialanalyse: Solarthermie</w:t>
      </w:r>
    </w:p>
    <w:tbl>
      <w:tblPr>
        <w:tblW w:type="auto" w:w="0"/>
        <w:jc w:val="center"/>
        <w:tblLook w:firstColumn="1" w:firstRow="1" w:lastColumn="0" w:lastRow="0" w:noHBand="0" w:noVBand="1" w:val="04A0"/>
      </w:tblPr>
      <w:tblGrid>
        <w:gridCol w:w="4320"/>
        <w:gridCol w:w="4320"/>
      </w:tblGrid>
      <w:tr>
        <w:tc>
          <w:tcPr>
            <w:tcW w:type="dxa" w:w="4320"/>
            <w:shd w:val="clear" w:color="auto" w:fill="343A40"/>
            <w:tcBorders>
              <w:bottom w:val="single" w:sz="22" w:space="0" w:color="#c00000"/>
            </w:tcBorders>
            <w:tcMar w:top="1" w:bottom="1" w:left="0" w:right="0"/>
          </w:tcPr>
          <w:p>
            <w:pPr>
              <w:spacing w:before="20" w:after="10" w:line="240" w:lineRule="auto"/>
              <w:jc w:val="center"/>
            </w:pPr>
            <w:r>
              <w:rPr>
                <w:color w:val="FFFFFF"/>
                <w:sz w:val="20"/>
              </w:rPr>
              <w:t>Collector temperature</w:t>
            </w:r>
          </w:p>
        </w:tc>
        <w:tc>
          <w:tcPr>
            <w:tcW w:type="dxa" w:w="4320"/>
            <w:shd w:val="clear" w:color="auto" w:fill="343A40"/>
            <w:tcBorders>
              <w:bottom w:val="single" w:sz="22" w:space="0" w:color="#c00000"/>
            </w:tcBorders>
            <w:tcMar w:top="1" w:bottom="1" w:left="0" w:right="0"/>
          </w:tcPr>
          <w:p>
            <w:pPr>
              <w:spacing w:before="20" w:after="10" w:line="240" w:lineRule="auto"/>
              <w:jc w:val="center"/>
            </w:pPr>
            <w:r>
              <w:rPr>
                <w:color w:val="FFFFFF"/>
                <w:sz w:val="20"/>
              </w:rPr>
              <w:t>Heat yield</w:t>
            </w:r>
          </w:p>
        </w:tc>
      </w:tr>
      <w:tr>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50 °C</w:t>
            </w:r>
          </w:p>
        </w:tc>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2,044 MWh/(ha·a)</w:t>
            </w:r>
          </w:p>
        </w:tc>
      </w:tr>
      <w:tr>
        <w:tc>
          <w:tcPr>
            <w:tcW w:type="dxa" w:w="4320"/>
            <w:vAlign w:val="center"/>
            <w:tcMar w:top="1" w:bottom="1" w:left="0" w:right="0"/>
            <w:tcBorders>
              <w:bottom w:val="single" w:sz="8" w:space="0" w:color="9b9b9b"/>
            </w:tcBorders>
            <w:shd w:val="clear" w:color="auto" w:fill="cfcfcf"/>
          </w:tcPr>
          <w:p>
            <w:pPr>
              <w:spacing w:before="20" w:after="10" w:line="240" w:lineRule="auto"/>
              <w:jc w:val="center"/>
            </w:pPr>
            <w:r>
              <w:rPr>
                <w:sz w:val="20"/>
              </w:rPr>
              <w:t>70 °C</w:t>
            </w:r>
          </w:p>
        </w:tc>
        <w:tc>
          <w:tcPr>
            <w:tcW w:type="dxa" w:w="4320"/>
            <w:vAlign w:val="center"/>
            <w:tcMar w:top="1" w:bottom="1" w:left="0" w:right="0"/>
            <w:tcBorders>
              <w:bottom w:val="single" w:sz="8" w:space="0" w:color="9b9b9b"/>
            </w:tcBorders>
            <w:shd w:val="clear" w:color="auto" w:fill="cfcfcf"/>
          </w:tcPr>
          <w:p>
            <w:pPr>
              <w:spacing w:before="20" w:after="10" w:line="240" w:lineRule="auto"/>
              <w:jc w:val="center"/>
            </w:pPr>
            <w:r>
              <w:rPr>
                <w:sz w:val="20"/>
              </w:rPr>
              <w:t>1,322 MWh/(ha·a)</w:t>
            </w:r>
          </w:p>
        </w:tc>
      </w:tr>
      <w:tr>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90 °C</w:t>
            </w:r>
          </w:p>
        </w:tc>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759 MWh/(ha·a)</w:t>
            </w:r>
          </w:p>
        </w:tc>
      </w:tr>
    </w:tbl>
    <w:p/>
    <w:p>
      <w:pPr>
        <w:pStyle w:val="Heading3"/>
      </w:pPr>
      <w:r>
        <w:rPr>
          <w:b/>
          <w:color w:val="000000"/>
          <w:sz w:val="32"/>
        </w:rPr>
        <w:bookmarkStart w:id="1" w:name="h_potential_analysis_shallow_geothermal_num"/>
        <w:t xml:space="preserve">1.2.3 </w:t>
        <w:bookmarkEnd w:id="1"/>
      </w:r>
      <w:r>
        <w:rPr>
          <w:b/>
          <w:color w:val="000000"/>
          <w:sz w:val="32"/>
        </w:rPr>
        <w:t>Shallow geothermal energy</w:t>
      </w:r>
    </w:p>
    <w:p>
      <w:pPr>
        <w:jc w:val="both"/>
      </w:pPr>
      <w:r>
        <w:t>By means of horizontal ground collectors or borehole heat exchangers, the subsurface can be used down to a depth of approximately 400 m for heating and cooling supply through shallow geothermal energy. A relevant design parameter is the thermal conductivity of the subsurface, which determines the specific heat extraction rate per metre and thus the required collector area or borehole depth. In the case of drilling, the geological and hydrogeological conditions (for example the location of water protection areas) must be taken into account.</w:t>
      </w:r>
    </w:p>
    <w:p>
      <w:pPr>
        <w:jc w:val="both"/>
      </w:pPr>
      <w:r>
        <w:t>Relevant areas for shallow geothermal energy could be identified within the district. The largest share of the district area is accounted for by the soil type Luvisol with an area of 100,0 %. Water protection areas are present within the district. The characteristic values of the identified potentials for shallow geothermal energy are listed in the following table.</w:t>
      </w:r>
    </w:p>
    <w:p>
      <w:pPr>
        <w:pStyle w:val="CaptionStyle"/>
        <w:spacing w:before="40" w:after="0"/>
        <w:jc w:val="center"/>
      </w:pPr>
      <w:r>
        <w:t xml:space="preserve">Table </w:t>
      </w:r>
      <w:bookmarkStart w:id="597" w:name="potential_analysis_shallow_geothermal_num"/>
      <w:fldSimple w:instr="SEQ Tabelle \* ARABIC">
        <w:r>
          <w:t>4</w:t>
        </w:r>
      </w:fldSimple>
      <w:bookmarkEnd w:id="597"/>
      <w:bookmarkStart w:id="potential_analysis_shallow_geothermal" w:name="potential_analysis_shallow_geothermal"/>
      <w:r/>
      <w:bookmarkEnd w:id="potential_analysis_shallow_geothermal"/>
      <w:r>
        <w:t>: Potenzialanalyse: Oberflächennahe Geothermie</w:t>
      </w:r>
    </w:p>
    <w:tbl>
      <w:tblPr>
        <w:tblW w:type="auto" w:w="0"/>
        <w:jc w:val="center"/>
        <w:tblLook w:firstColumn="1" w:firstRow="1" w:lastColumn="0" w:lastRow="0" w:noHBand="0" w:noVBand="1" w:val="04A0"/>
      </w:tblPr>
      <w:tblGrid>
        <w:gridCol w:w="1440"/>
        <w:gridCol w:w="1440"/>
        <w:gridCol w:w="1440"/>
        <w:gridCol w:w="1440"/>
        <w:gridCol w:w="1440"/>
        <w:gridCol w:w="1440"/>
      </w:tblGrid>
      <w:tr>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Soil type</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District area share</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Soil texture class (ESDAC)</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Average thermal conductivity</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Thermal conductivity range</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Humidity class</w:t>
            </w:r>
          </w:p>
        </w:tc>
      </w:tr>
      <w:tr>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Luvisol</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100.0 %</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medium fine</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1 W/mK</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0.3 W/mK</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humid</w:t>
            </w:r>
          </w:p>
        </w:tc>
      </w:tr>
    </w:tbl>
    <w:p/>
    <w:p>
      <w:pPr>
        <w:pStyle w:val="Heading3"/>
      </w:pPr>
      <w:r>
        <w:rPr>
          <w:b/>
          <w:color w:val="000000"/>
          <w:sz w:val="32"/>
        </w:rPr>
        <w:bookmarkStart w:id="1" w:name="h_potential_analysis_deep_geothermal_num"/>
        <w:t xml:space="preserve">1.2.4 </w:t>
        <w:bookmarkEnd w:id="1"/>
      </w:r>
      <w:r>
        <w:rPr>
          <w:b/>
          <w:color w:val="000000"/>
          <w:sz w:val="32"/>
        </w:rPr>
        <w:t>Deep geothermal energy</w:t>
      </w:r>
    </w:p>
    <w:p>
      <w:pPr>
        <w:jc w:val="both"/>
      </w:pPr>
      <w:r>
        <w:t>From a depth of approximately 400 m, the subsurface can be used for heat supply through deep geothermal energy. In hydrothermal systems, thermal water is extracted from water-bearing layers and returned to the subsurface after the heat has been withdrawn. Petrothermal systems, in contrast, develop the heat from low-permeability rock via artificially created flow paths. In the case of drilling, the geological and hydrogeological conditions (for example the location of water protection areas) must be taken into account.</w:t>
      </w:r>
    </w:p>
    <w:p>
      <w:pPr>
        <w:jc w:val="both"/>
      </w:pPr>
      <w:r>
        <w:t>No potential for the thermal use of deep geothermal energy could be found within the district.</w:t>
      </w:r>
    </w:p>
    <w:p>
      <w:pPr>
        <w:pStyle w:val="Heading2"/>
      </w:pPr>
      <w:r>
        <w:rPr>
          <w:b/>
          <w:color w:val="000000"/>
          <w:sz w:val="36"/>
        </w:rPr>
        <w:bookmarkStart w:id="1" w:name="h_potential_analysis_anthropogenic_sources_num"/>
        <w:t xml:space="preserve">1.3 </w:t>
        <w:bookmarkEnd w:id="1"/>
      </w:r>
      <w:r>
        <w:rPr>
          <w:b/>
          <w:color w:val="000000"/>
          <w:sz w:val="36"/>
        </w:rPr>
        <w:t>Anthropogenic heat sources</w:t>
      </w:r>
    </w:p>
    <w:p>
      <w:pPr>
        <w:pStyle w:val="Heading3"/>
      </w:pPr>
      <w:r>
        <w:rPr>
          <w:b/>
          <w:color w:val="000000"/>
          <w:sz w:val="32"/>
        </w:rPr>
        <w:bookmarkStart w:id="1" w:name="h_potential_analysis_waste_heat_num"/>
        <w:t xml:space="preserve">1.3.1 </w:t>
        <w:bookmarkEnd w:id="1"/>
      </w:r>
      <w:r>
        <w:rPr>
          <w:b/>
          <w:color w:val="000000"/>
          <w:sz w:val="32"/>
        </w:rPr>
        <w:t>Waste heat</w:t>
      </w:r>
    </w:p>
    <w:p>
      <w:pPr>
        <w:jc w:val="both"/>
      </w:pPr>
      <w:r>
        <w:t>Waste heat arises as an unused by-product of technical processes and can be integrated into heat networks directly or via heat pumps, provided the temperature is suitable and the supply is sufficiently continuous. As no additional primary energy has to be expended, the use of waste heat is a particularly efficient and, in terms of development, often economical option. Potential sources include industrial and commercial processes, data centres and waste treatment plants. Key design parameters are the temperature level, the available capacity and the temporal profile of the waste heat supply, which ideally coincides with the heat demand of the district. Aspects to be considered are the distance between the source and the supply area, the dependence on the operating mode and continued operation of the waste-heat-supplying process, as well as the contractual safeguarding of the long-term supply.</w:t>
      </w:r>
    </w:p>
    <w:p>
      <w:pPr>
        <w:jc w:val="both"/>
      </w:pPr>
      <w:r>
        <w:t>No waste heat potentials could be found in the analysis area with a radius of 2,000 m around the district.</w:t>
      </w:r>
    </w:p>
    <w:p>
      <w:pPr>
        <w:pStyle w:val="Heading3"/>
      </w:pPr>
      <w:r>
        <w:rPr>
          <w:b/>
          <w:color w:val="000000"/>
          <w:sz w:val="32"/>
        </w:rPr>
        <w:bookmarkStart w:id="1" w:name="h_potential_analysis_waste_water_treatment_num"/>
        <w:t xml:space="preserve">1.3.2 </w:t>
        <w:bookmarkEnd w:id="1"/>
      </w:r>
      <w:r>
        <w:rPr>
          <w:b/>
          <w:color w:val="000000"/>
          <w:sz w:val="32"/>
        </w:rPr>
        <w:t>Wastewater treatment plants</w:t>
      </w:r>
    </w:p>
    <w:p>
      <w:pPr>
        <w:jc w:val="both"/>
      </w:pPr>
      <w:r>
        <w:t>Wastewater exhibits a comparatively constant temperature level throughout the year and can be used, for example, as a heat source for large-scale heat pumps. Wastewater treatment plants are of particular interest in this respect. The heat quantity that can actually be extracted must be coordinated with the plant operator, as the minimum discharge temperature stipulated by water law limits the usable temperature difference.</w:t>
      </w:r>
    </w:p>
    <w:p>
      <w:pPr>
        <w:jc w:val="both"/>
      </w:pPr>
      <w:r>
        <w:t>No wastewater treatment plants could be found in the analysis area with a radius of 2,000 m around the district.</w:t>
      </w:r>
    </w:p>
    <w:p>
      <w:pPr>
        <w:pStyle w:val="Heading3"/>
      </w:pPr>
      <w:r>
        <w:rPr>
          <w:b/>
          <w:color w:val="000000"/>
          <w:sz w:val="32"/>
        </w:rPr>
        <w:bookmarkStart w:id="1" w:name="h_potential_analysis_existing_heat_networks_num"/>
        <w:t xml:space="preserve">1.3.3 </w:t>
        <w:bookmarkEnd w:id="1"/>
      </w:r>
      <w:r>
        <w:rPr>
          <w:b/>
          <w:color w:val="000000"/>
          <w:sz w:val="32"/>
        </w:rPr>
        <w:t>Existing heat networks</w:t>
      </w:r>
    </w:p>
    <w:p>
      <w:pPr>
        <w:jc w:val="both"/>
      </w:pPr>
      <w:r>
        <w:t>Existing heat networks are relevant both as a possible connection option for the district and as a starting point for a joint expansion of the supply area. In this context, the available capacities, the temperature level and the current generation mix of the network operator must be taken into account.</w:t>
      </w:r>
    </w:p>
    <w:p>
      <w:pPr>
        <w:jc w:val="both"/>
      </w:pPr>
      <w:r>
        <w:t>Within the analysis radius of 2,000 m, 2 existing heat networks with an estimated total supply area of approx. 690.000 ha were identified. The network closest to the district is located at a distance of 428 m. The heat networks found are listed in the following table.</w:t>
      </w:r>
    </w:p>
    <w:p>
      <w:pPr>
        <w:pStyle w:val="CaptionStyle"/>
        <w:spacing w:before="40" w:after="0"/>
        <w:jc w:val="center"/>
      </w:pPr>
      <w:r>
        <w:t xml:space="preserve">Table </w:t>
      </w:r>
      <w:bookmarkStart w:id="781" w:name="potential_analysis_existing_heat_networks_num"/>
      <w:fldSimple w:instr="SEQ Tabelle \* ARABIC">
        <w:r>
          <w:t>5</w:t>
        </w:r>
      </w:fldSimple>
      <w:bookmarkEnd w:id="781"/>
      <w:bookmarkStart w:id="potential_analysis_existing_heat_networks" w:name="potential_analysis_existing_heat_networks"/>
      <w:r/>
      <w:bookmarkEnd w:id="potential_analysis_existing_heat_networks"/>
      <w:r>
        <w:t>: Potenzialanalyse: Bestehende Wärmenetze</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Heat network</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Distance to district</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Estimated supply area</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Heat network 1</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428 m</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330,000 ha</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Heat network 2</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1,577 m</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360,000 ha</w:t>
            </w:r>
          </w:p>
        </w:tc>
      </w:tr>
    </w:tbl>
    <w:p/>
    <w:p>
      <w:pPr>
        <w:pStyle w:val="Heading2"/>
      </w:pPr>
      <w:r>
        <w:rPr>
          <w:b/>
          <w:color w:val="000000"/>
          <w:sz w:val="36"/>
        </w:rPr>
        <w:bookmarkStart w:id="1" w:name="h_potential_analysis_biogenic_fuels_num"/>
        <w:t xml:space="preserve">1.4 </w:t>
        <w:bookmarkEnd w:id="1"/>
      </w:r>
      <w:r>
        <w:rPr>
          <w:b/>
          <w:color w:val="000000"/>
          <w:sz w:val="36"/>
        </w:rPr>
        <w:t>Biogenic fuels</w:t>
      </w:r>
    </w:p>
    <w:p>
      <w:pPr>
        <w:pStyle w:val="Heading3"/>
      </w:pPr>
      <w:r>
        <w:rPr>
          <w:b/>
          <w:color w:val="000000"/>
          <w:sz w:val="32"/>
        </w:rPr>
        <w:bookmarkStart w:id="1" w:name="h_potential_analysis_biogas_num"/>
        <w:t xml:space="preserve">1.4.1 </w:t>
        <w:bookmarkEnd w:id="1"/>
      </w:r>
      <w:r>
        <w:rPr>
          <w:b/>
          <w:color w:val="000000"/>
          <w:sz w:val="32"/>
        </w:rPr>
        <w:t>Biogas</w:t>
      </w:r>
    </w:p>
    <w:p>
      <w:pPr>
        <w:jc w:val="both"/>
      </w:pPr>
      <w:r>
        <w:t>In biogas plants, a methane-rich gas is produced from the anaerobic digestion of substrates, which can be converted into electricity in a combined heat and power unit whose waste heat can be fed into heat networks. Alternatively, the biogas can be upgraded to biomethane and utilised via the natural gas grid at any location within the supply area, for example in a peak load boiler. Relevant design parameters are the substrate availability in the surrounding area as well as the installed thermal input capacity, from which the usable heat potential is derived. Aspects to be considered are the distance of existing plants from the supply area and the resulting connection pipeline, as well as the competition with existing heat consumers and the regulatory framework conditions for funding.</w:t>
      </w:r>
    </w:p>
    <w:p>
      <w:pPr>
        <w:jc w:val="both"/>
      </w:pPr>
      <w:r>
        <w:t>No biogas plants could be found in the analysis area with a radius of 2,000 m around the district.</w:t>
      </w:r>
    </w:p>
    <w:p>
      <w:pPr>
        <w:pStyle w:val="Heading3"/>
      </w:pPr>
      <w:r>
        <w:rPr>
          <w:b/>
          <w:color w:val="000000"/>
          <w:sz w:val="32"/>
        </w:rPr>
        <w:bookmarkStart w:id="1" w:name="h_potential_analysis_biomass_num"/>
        <w:t xml:space="preserve">1.4.2 </w:t>
        <w:bookmarkEnd w:id="1"/>
      </w:r>
      <w:r>
        <w:rPr>
          <w:b/>
          <w:color w:val="000000"/>
          <w:sz w:val="32"/>
        </w:rPr>
        <w:t>Biomass</w:t>
      </w:r>
    </w:p>
    <w:p>
      <w:pPr>
        <w:jc w:val="both"/>
      </w:pPr>
      <w:r>
        <w:t>Biomass in the form of wood chips, log wood, pellets or residual and waste wood can be combusted in heating plants and combined heat and power plants, with the heat being fed into heat networks. Owing to the good storability of the fuel and the high achievable supply temperatures, biomass plants are suitable both for base load operation and for covering the peak load. Aspects to be considered are the sustainability and price stability of the fuel supply, the competing use by existing consumers and material recovery pathways, the emission control requirements regarding dust and nitrogen oxide emissions, as well as the regulatory limitation of the biomass share under the funding scheme.</w:t>
      </w:r>
    </w:p>
    <w:p>
      <w:pPr>
        <w:jc w:val="both"/>
      </w:pPr>
      <w:r>
        <w:t>Within the analysis radius of 30,000 m, 1 biomass plants with a total installed capacity of 3.100 kW were identified. The nearest plant is located at a distance of 21.750 m. The following table lists the biomass plants found.</w:t>
      </w:r>
    </w:p>
    <w:p>
      <w:pPr>
        <w:pStyle w:val="CaptionStyle"/>
        <w:spacing w:before="40" w:after="0"/>
        <w:jc w:val="center"/>
      </w:pPr>
      <w:r>
        <w:t xml:space="preserve">Table </w:t>
      </w:r>
      <w:bookmarkStart w:id="638" w:name="potential_analysis_biomass_plants_num"/>
      <w:fldSimple w:instr="SEQ Tabelle \* ARABIC">
        <w:r>
          <w:t>6</w:t>
        </w:r>
      </w:fldSimple>
      <w:bookmarkEnd w:id="638"/>
      <w:bookmarkStart w:id="potential_analysis_biomass_plants" w:name="potential_analysis_biomass_plants"/>
      <w:r/>
      <w:bookmarkEnd w:id="potential_analysis_biomass_plants"/>
      <w:r>
        <w:t>: Potenzialanalyse: Biomasse</w:t>
      </w:r>
    </w:p>
    <w:tbl>
      <w:tblPr>
        <w:tblW w:type="auto" w:w="0"/>
        <w:jc w:val="center"/>
        <w:tblLook w:firstColumn="1" w:firstRow="1" w:lastColumn="0" w:lastRow="0" w:noHBand="0" w:noVBand="1" w:val="04A0"/>
      </w:tblPr>
      <w:tblGrid>
        <w:gridCol w:w="1728"/>
        <w:gridCol w:w="1728"/>
        <w:gridCol w:w="1728"/>
        <w:gridCol w:w="1728"/>
        <w:gridCol w:w="1728"/>
      </w:tblGrid>
      <w:tr>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Biomass plant</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Installed capacity</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Year of commissioning</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Type</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Distance to district</w:t>
            </w:r>
          </w:p>
        </w:tc>
      </w:tr>
      <w:tr>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Biomass plant 1</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3,100 kW</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2007</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Firewood</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21,750 m</w:t>
            </w:r>
          </w:p>
        </w:tc>
      </w:tr>
    </w:tbl>
    <w:p/>
    <w:p>
      <w:pPr>
        <w:jc w:val="both"/>
      </w:pPr>
      <w:r>
        <w:t>63,4 % of the analysis area is accounted for by land use classes in the categories of forest and woodland areas as well as agricultural areas. The area figures describe land use classes that could theoretically offer raw material potentials for the use of biomass. The share actually available depends on ownership structures, existing use, nature conservation requirements and the competition with material recovery. The following table shows the distribution of the suitable areas.</w:t>
      </w:r>
    </w:p>
    <w:p>
      <w:pPr>
        <w:pStyle w:val="CaptionStyle"/>
        <w:spacing w:before="40" w:after="0"/>
        <w:jc w:val="center"/>
      </w:pPr>
      <w:r>
        <w:t xml:space="preserve">Table </w:t>
      </w:r>
      <w:bookmarkStart w:id="564" w:name="potential_analysis_biomass_areas_num"/>
      <w:fldSimple w:instr="SEQ Tabelle \* ARABIC">
        <w:r>
          <w:t>7</w:t>
        </w:r>
      </w:fldSimple>
      <w:bookmarkEnd w:id="564"/>
      <w:bookmarkStart w:id="potential_analysis_biomass_areas" w:name="potential_analysis_biomass_areas"/>
      <w:r/>
      <w:bookmarkEnd w:id="potential_analysis_biomass_areas"/>
      <w:r>
        <w:t>: Potenzialanalyse: Für Biomasse geeignete Flächen</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Area category</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Area</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Share of analysis area</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Agricultural land</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134,574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47.7 %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Forest and woodland</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44,516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15.8 %</w:t>
            </w:r>
          </w:p>
        </w:tc>
      </w:tr>
    </w:tbl>
    <w:p/>
    <w:p>
      <w:pPr>
        <w:pStyle w:val="Heading2"/>
      </w:pPr>
      <w:r>
        <w:rPr>
          <w:b/>
          <w:color w:val="000000"/>
          <w:sz w:val="36"/>
        </w:rPr>
        <w:bookmarkStart w:id="1" w:name="h_potential_analysis_renewable_power_sources_num"/>
        <w:t xml:space="preserve">1.5 </w:t>
        <w:bookmarkEnd w:id="1"/>
      </w:r>
      <w:r>
        <w:rPr>
          <w:b/>
          <w:color w:val="000000"/>
          <w:sz w:val="36"/>
        </w:rPr>
        <w:t>Renewable power generation</w:t>
      </w:r>
    </w:p>
    <w:p>
      <w:pPr>
        <w:jc w:val="both"/>
      </w:pPr>
      <w:r>
        <w:t>Renewably generated electricity from wind power, photovoltaic and hydropower plants contributes to heat supply through sector coupling by providing the drive power for large-scale heat pumps, electrode boilers or power-to-heat applications. Since the greenhouse gas balance of heat pumps, for example, depends significantly on the emission factor of the electricity purchased, the availability of green electricity can make an important contribution to the decarbonisation of heat networks.</w:t>
      </w:r>
    </w:p>
    <w:p>
      <w:pPr>
        <w:jc w:val="both"/>
      </w:pPr>
      <w:r>
        <w:t>Within the analysis radius of 20,000 m, 62 plants for renewable electricity generation with a total installed capacity of 120.408 kW were identified. The technologies Windenergie, Photovoltaik, Wasserkraft were examined. The results for each technology are listed in the following table.</w:t>
      </w:r>
    </w:p>
    <w:p>
      <w:pPr>
        <w:pStyle w:val="CaptionStyle"/>
        <w:spacing w:before="40" w:after="0"/>
        <w:jc w:val="center"/>
      </w:pPr>
      <w:r>
        <w:t xml:space="preserve">Table </w:t>
      </w:r>
      <w:bookmarkStart w:id="117" w:name="potential_analysis_renewable_power_sources_num"/>
      <w:fldSimple w:instr="SEQ Tabelle \* ARABIC">
        <w:r>
          <w:t>8</w:t>
        </w:r>
      </w:fldSimple>
      <w:bookmarkEnd w:id="117"/>
      <w:bookmarkStart w:id="potential_analysis_renewable_power_sources" w:name="potential_analysis_renewable_power_sources"/>
      <w:r/>
      <w:bookmarkEnd w:id="potential_analysis_renewable_power_sources"/>
      <w:r>
        <w:t>: Potenzialanalyse: Erneuerbare Stromerzeugung</w:t>
      </w:r>
    </w:p>
    <w:tbl>
      <w:tblPr>
        <w:tblW w:type="auto" w:w="0"/>
        <w:jc w:val="center"/>
        <w:tblLook w:firstColumn="1" w:firstRow="1" w:lastColumn="0" w:lastRow="0" w:noHBand="0" w:noVBand="1" w:val="04A0"/>
      </w:tblPr>
      <w:tblGrid>
        <w:gridCol w:w="2160"/>
        <w:gridCol w:w="2160"/>
        <w:gridCol w:w="2160"/>
        <w:gridCol w:w="2160"/>
      </w:tblGrid>
      <w:tr>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Technology</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Number of plants</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Installed capacity</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Distance to nearest plant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Wind energy</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50</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109,662 kW</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5,603 m</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Photovoltaic</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6</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10,094 kW</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2,226 m</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Hydropower</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6</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651 kW</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3,931 m</w:t>
            </w:r>
          </w:p>
        </w:tc>
      </w:tr>
    </w:tbl>
    <w:p/>
    <w:sectPr w:rsidR="00FC693F" w:rsidRPr="0006063C" w:rsidSect="00034616">
      <w:footerReference w:type="default" r:id="rId10"/>
      <w:type w:val="continuous"/>
      <w:pgSz w:w="12240" w:h="15840"/>
      <w:pgMar w:top="1440" w:right="1800" w:bottom="1440" w:left="1800" w:header="720" w:footer="720" w:gutter="0"/>
      <w:cols w:space="720"/>
      <w:docGrid w:linePitch="360"/>
      <w:pgNumType w:star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685800" cy="292607"/>
          <wp:docPr id="1" name="Picture 1"/>
          <wp:cNvGraphicFramePr>
            <a:graphicFrameLocks noChangeAspect="1"/>
          </wp:cNvGraphicFramePr>
          <a:graphic>
            <a:graphicData uri="http://schemas.openxmlformats.org/drawingml/2006/picture">
              <pic:pic>
                <pic:nvPicPr>
                  <pic:cNvPr id="0" name="npro_logo_small.png"/>
                  <pic:cNvPicPr/>
                </pic:nvPicPr>
                <pic:blipFill>
                  <a:blip r:embed="rId1"/>
                  <a:stretch>
                    <a:fillRect/>
                  </a:stretch>
                </pic:blipFill>
                <pic:spPr>
                  <a:xfrm>
                    <a:off x="0" y="0"/>
                    <a:ext cx="685800" cy="292607"/>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rPr>
      <w:rFonts w:ascii="Calibri" w:hAnsi="Calibri"/>
      <w:i/>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nPro Ergebnisbericht</dc:title>
  <dc:subject/>
  <dc:creator>Lisa Weidinger</dc:creator>
  <cp:keywords>nPro Energy</cp:keywords>
  <dc:description>Dieser Ergebnisbericht wurde mit der nPro Software erstellt.</dc:description>
  <cp:lastModifiedBy/>
  <cp:revision>1</cp:revision>
  <dcterms:created xsi:type="dcterms:W3CDTF">2026-09-09T13:46:15Z</dcterms:created>
  <dcterms:modified xsi:type="dcterms:W3CDTF">2026-09-09T13:46:15Z</dcterms:modified>
  <cp:category/>
</cp:coreProperties>
</file>