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ectPr>
          <w:headerReference w:type="default" r:id="rId9"/>
          <w:pgSz w:w="12240" w:h="15840"/>
          <w:pgMar w:top="1440" w:right="1800" w:bottom="1440" w:left="1800" w:header="720" w:footer="720" w:gutter="0"/>
          <w:cols w:space="720"/>
          <w:docGrid w:linePitch="360"/>
        </w:sectPr>
      </w:pPr>
    </w:p>
    <w:p>
      <w:pPr>
        <w:pStyle w:val="Heading1"/>
      </w:pPr>
      <w:r>
        <w:rPr>
          <w:b/>
          <w:color w:val="000000"/>
          <w:sz w:val="44"/>
        </w:rPr>
        <w:bookmarkStart w:id="1" w:name="h_potential_analysis_num"/>
        <w:t xml:space="preserve">1 </w:t>
        <w:bookmarkEnd w:id="1"/>
      </w:r>
      <w:r>
        <w:rPr>
          <w:b/>
          <w:color w:val="000000"/>
          <w:sz w:val="44"/>
        </w:rPr>
        <w:t>Potenzialanalyse</w:t>
      </w:r>
    </w:p>
    <w:p>
      <w:pPr>
        <w:pStyle w:val="Heading2"/>
      </w:pPr>
      <w:r>
        <w:rPr>
          <w:b/>
          <w:color w:val="000000"/>
          <w:sz w:val="36"/>
        </w:rPr>
        <w:bookmarkStart w:id="1" w:name="h_potential_analysis_land_use_num"/>
        <w:t xml:space="preserve">1.1 </w:t>
        <w:bookmarkEnd w:id="1"/>
      </w:r>
      <w:r>
        <w:rPr>
          <w:b/>
          <w:color w:val="000000"/>
          <w:sz w:val="36"/>
        </w:rPr>
        <w:t>Flächennutzung</w:t>
      </w:r>
    </w:p>
    <w:p>
      <w:pPr>
        <w:jc w:val="both"/>
      </w:pPr>
      <w:r>
        <w:t>Die Nutzung erneuerbarer Energiequellen ist häufig flächengebunden, sodass die verfügbaren Flächen im Umfeld des Quartiers eine wesentliche Randbedingung der Potenzialanalyse darstellen. Eine Auswertung der Flächennutzungsklassen gibt daher einen ersten Überblick über die räumliche Struktur des Untersuchungsgebiets. Aus der Verteilung von Siedlungs-, Vegetations-, Landwirtschafts- und Gewässerflächen lassen sich Hinweise auf grundsätzlich geeignete Standorte für die einzelnen Technologien ableiten, beispielsweise unversiegelte Flächen für Erdwärmesonden und Flächenkollektoren, Freiflächen für Solarthermie und Photovoltaik oder Wald- und Landwirtschaftsflächen für die Bereitstellung von Biomasse.</w:t>
      </w:r>
    </w:p>
    <w:p>
      <w:pPr>
        <w:jc w:val="both"/>
      </w:pPr>
      <w:r>
        <w:t>Im Untersuchungsradius von 5.000 m um das Quartier sind 100,0 % der Fläche durch Bodenbedeckungsdaten beschrieben. Insgesamt treten 12 Flächennutzungsklassen auf. Dominierende Klasse ist 211 - Nicht bewässertes Ackerland mit einem Anteil von 35,9 %. Die größten Klassen sind in der nachfolgenden Tabelle aufgeführt.</w:t>
      </w:r>
    </w:p>
    <w:p>
      <w:pPr>
        <w:pStyle w:val="CaptionStyle"/>
        <w:spacing w:before="40" w:after="0"/>
        <w:jc w:val="center"/>
      </w:pPr>
      <w:r>
        <w:t xml:space="preserve">Tabelle </w:t>
      </w:r>
      <w:bookmarkStart w:id="154" w:name="potential_analysis_land_use_num"/>
      <w:fldSimple w:instr="SEQ Tabelle \* ARABIC">
        <w:r>
          <w:t>1</w:t>
        </w:r>
      </w:fldSimple>
      <w:bookmarkEnd w:id="154"/>
      <w:bookmarkStart w:id="potential_analysis_land_use" w:name="potential_analysis_land_use"/>
      <w:r/>
      <w:bookmarkEnd w:id="potential_analysis_land_use"/>
      <w:r>
        <w:t>: Potenzialanalyse: Flächennutzung</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Flächennutzungsklasse</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Fläche</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Anteil am Untersuchungsgebiet</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211 - Nicht bewässertes Ackerland</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2.817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35,9 %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112 - Nicht durchgängig städtische Prägung</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2.375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30,3 %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121 - Industrie- und Gewerbeflächen</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1.175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15,0 %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311 - Laubwälder</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411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5,2 %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142 - Sport- und Freizeitanlagen</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369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4,7 %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141 - Städtische Grünflächen</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238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3,0 %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231 - Wiesen und Weiden</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157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2,0 %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512 - Wasserflächen</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80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1,0 %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111 - Durchgängig städtische Prägung</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80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1,0 %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131 - Abbauflächen</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68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0,9 %</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Sonstige Klassen (2)</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72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0,9 %</w:t>
            </w:r>
          </w:p>
        </w:tc>
      </w:tr>
    </w:tbl>
    <w:p/>
    <w:p>
      <w:pPr>
        <w:pStyle w:val="Heading2"/>
      </w:pPr>
      <w:r>
        <w:rPr>
          <w:b/>
          <w:color w:val="000000"/>
          <w:sz w:val="36"/>
        </w:rPr>
        <w:bookmarkStart w:id="1" w:name="h_potential_analysis_natural_sources_num"/>
        <w:t xml:space="preserve">1.2 </w:t>
        <w:bookmarkEnd w:id="1"/>
      </w:r>
      <w:r>
        <w:rPr>
          <w:b/>
          <w:color w:val="000000"/>
          <w:sz w:val="36"/>
        </w:rPr>
        <w:t>Natürliche Wärmequellen</w:t>
      </w:r>
    </w:p>
    <w:p>
      <w:pPr>
        <w:pStyle w:val="Heading3"/>
      </w:pPr>
      <w:r>
        <w:rPr>
          <w:b/>
          <w:color w:val="000000"/>
          <w:sz w:val="32"/>
        </w:rPr>
        <w:bookmarkStart w:id="1" w:name="h_potential_analysis_surface_water_num"/>
        <w:t xml:space="preserve">1.2.1 </w:t>
        <w:bookmarkEnd w:id="1"/>
      </w:r>
      <w:r>
        <w:rPr>
          <w:b/>
          <w:color w:val="000000"/>
          <w:sz w:val="32"/>
        </w:rPr>
        <w:t>Oberflächengewässer</w:t>
      </w:r>
    </w:p>
    <w:p>
      <w:pPr>
        <w:jc w:val="both"/>
      </w:pPr>
      <w:r>
        <w:t>Oberflächengewässer können als Wärmequelle für Großwärmepumpen oder zur direkten Kühlung genutzt werden. Gegenüber der Umgebungsluft bieten sie eine höhere Wärmekapazität und ein stabileres Temperaturniveau, was die Jahresarbeitszahl erhöht und die Spitzenlast reduziert. Quartiersnahe Flüsse und Seen sind daher von besonderem Interesse für die thermische Nutzung. Maßgebliche Randbedingungen sind die wasserrechtliche Genehmigung, die zulässige Temperaturdifferenz des Rückflusses sowie die ökologischen Anforderungen des jeweiligen Gewässers.</w:t>
      </w:r>
    </w:p>
    <w:p>
      <w:pPr>
        <w:jc w:val="both"/>
      </w:pPr>
      <w:r>
        <w:t>Im Untersuchungsradius von 2.000 m um das Quartier wurden 20 Oberflächengewässer mit einer Gesamtfläche von 37.838 m² ermittelt. Das dem Quartier am nächsten gelegene Gewässer liegt in einer Entfernung von 166 m. 17 der Gewässer liegen innerhalb von Wasserschutzgebieten. Die ermittelten Potenziale sind in der nachfolgenden Tabelle aufgeführt.</w:t>
      </w:r>
    </w:p>
    <w:p>
      <w:pPr>
        <w:pStyle w:val="CaptionStyle"/>
        <w:spacing w:before="40" w:after="0"/>
        <w:jc w:val="center"/>
      </w:pPr>
      <w:r>
        <w:t xml:space="preserve">Tabelle </w:t>
      </w:r>
      <w:bookmarkStart w:id="935" w:name="potential_analysis_surface_water_num"/>
      <w:fldSimple w:instr="SEQ Tabelle \* ARABIC">
        <w:r>
          <w:t>2</w:t>
        </w:r>
      </w:fldSimple>
      <w:bookmarkEnd w:id="935"/>
      <w:bookmarkStart w:id="potential_analysis_surface_water" w:name="potential_analysis_surface_water"/>
      <w:r/>
      <w:bookmarkEnd w:id="potential_analysis_surface_water"/>
      <w:r>
        <w:t>: Potenzialanalyse: Oberflächengewässer</w:t>
      </w:r>
    </w:p>
    <w:tbl>
      <w:tblPr>
        <w:tblW w:type="auto" w:w="0"/>
        <w:jc w:val="center"/>
        <w:tblLook w:firstColumn="1" w:firstRow="1" w:lastColumn="0" w:lastRow="0" w:noHBand="0" w:noVBand="1" w:val="04A0"/>
      </w:tblPr>
      <w:tblGrid>
        <w:gridCol w:w="2160"/>
        <w:gridCol w:w="2160"/>
        <w:gridCol w:w="2160"/>
        <w:gridCol w:w="2160"/>
      </w:tblGrid>
      <w:tr>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Gewässer(name)</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Fläche (ggf. Flussbreite)</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Entfernung zum Quartier</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in Trinkwasser-schutzgebiet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205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166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127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812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91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830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3.941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1.053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1.942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1.075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1.840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1.094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Stausee</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1.273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1.183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475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1.198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5.478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1.213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3.525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1.225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2.189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1.325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234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1.367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Rückhaltebecken, Becken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4.162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1.424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Absetzbecken, Becken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404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1.526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1.532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1.579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2.611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1.599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Teich</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3.111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1.653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2.020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1.656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Becken</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2.090 m²</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1.742 m</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 xml:space="preserve"> Weiler (vollständig)</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Stausee</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590 m²</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1.887 m</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 xml:space="preserve"> Weiler (teilweise)</w:t>
            </w:r>
          </w:p>
        </w:tc>
      </w:tr>
    </w:tbl>
    <w:p/>
    <w:p>
      <w:pPr>
        <w:pStyle w:val="Heading3"/>
      </w:pPr>
      <w:r>
        <w:rPr>
          <w:b/>
          <w:color w:val="000000"/>
          <w:sz w:val="32"/>
        </w:rPr>
        <w:bookmarkStart w:id="1" w:name="h_potential_analysis_solarthermal_num"/>
        <w:t xml:space="preserve">1.2.2 </w:t>
        <w:bookmarkEnd w:id="1"/>
      </w:r>
      <w:r>
        <w:rPr>
          <w:b/>
          <w:color w:val="000000"/>
          <w:sz w:val="32"/>
        </w:rPr>
        <w:t>Solarthermie</w:t>
      </w:r>
    </w:p>
    <w:p>
      <w:pPr>
        <w:jc w:val="both"/>
      </w:pPr>
      <w:r>
        <w:t>Mithilfe von Solarthermieanlagen kann solar erzeugte Wärme in Wärmenetze eingespeist werden. Eine relevante Auslegungsgröße ist die Globalstrahlung am Standort, die gemeinsam mit der Netzvorlauftemperatur und dem Kollektortyp den flächenbezogenen Wärmeertrag beeinflusst.</w:t>
      </w:r>
    </w:p>
    <w:p>
      <w:pPr>
        <w:jc w:val="both"/>
      </w:pPr>
      <w:r>
        <w:t>Die jährliche Globalstrahlung am Standort beträgt 1.088 kWh/(m²·a). Auf dieser Basis wurden die jährlichen flächenbezogenen Wärmeerträge für Standard-Flachkollektoren bei Südausrichtung und einem Neigungswinkel von 30° für drei beispielhafte Kollektortemperaturen berechnet. Die Erträge der einzelnen Temperaturniveaus sind in der nachfolgenden Tabelle aufgeführt.</w:t>
      </w:r>
    </w:p>
    <w:p>
      <w:pPr>
        <w:pStyle w:val="CaptionStyle"/>
        <w:spacing w:before="40" w:after="0"/>
        <w:jc w:val="center"/>
      </w:pPr>
      <w:r>
        <w:t xml:space="preserve">Tabelle </w:t>
      </w:r>
      <w:bookmarkStart w:id="315" w:name="potential_analysis_solarthermal_num"/>
      <w:fldSimple w:instr="SEQ Tabelle \* ARABIC">
        <w:r>
          <w:t>3</w:t>
        </w:r>
      </w:fldSimple>
      <w:bookmarkEnd w:id="315"/>
      <w:bookmarkStart w:id="potential_analysis_solarthermal" w:name="potential_analysis_solarthermal"/>
      <w:r/>
      <w:bookmarkEnd w:id="potential_analysis_solarthermal"/>
      <w:r>
        <w:t>: Potenzialanalyse: Solarthermie</w:t>
      </w:r>
    </w:p>
    <w:tbl>
      <w:tblPr>
        <w:tblW w:type="auto" w:w="0"/>
        <w:jc w:val="center"/>
        <w:tblLook w:firstColumn="1" w:firstRow="1" w:lastColumn="0" w:lastRow="0" w:noHBand="0" w:noVBand="1" w:val="04A0"/>
      </w:tblPr>
      <w:tblGrid>
        <w:gridCol w:w="4320"/>
        <w:gridCol w:w="4320"/>
      </w:tblGrid>
      <w:tr>
        <w:tc>
          <w:tcPr>
            <w:tcW w:type="dxa" w:w="4320"/>
            <w:shd w:val="clear" w:color="auto" w:fill="343A40"/>
            <w:tcBorders>
              <w:bottom w:val="single" w:sz="22" w:space="0" w:color="#c00000"/>
            </w:tcBorders>
            <w:tcMar w:top="1" w:bottom="1" w:left="0" w:right="0"/>
          </w:tcPr>
          <w:p>
            <w:pPr>
              <w:spacing w:before="20" w:after="10" w:line="240" w:lineRule="auto"/>
              <w:jc w:val="center"/>
            </w:pPr>
            <w:r>
              <w:rPr>
                <w:color w:val="FFFFFF"/>
                <w:sz w:val="20"/>
              </w:rPr>
              <w:t>Kollektortemperatur</w:t>
            </w:r>
          </w:p>
        </w:tc>
        <w:tc>
          <w:tcPr>
            <w:tcW w:type="dxa" w:w="4320"/>
            <w:shd w:val="clear" w:color="auto" w:fill="343A40"/>
            <w:tcBorders>
              <w:bottom w:val="single" w:sz="22" w:space="0" w:color="#c00000"/>
            </w:tcBorders>
            <w:tcMar w:top="1" w:bottom="1" w:left="0" w:right="0"/>
          </w:tcPr>
          <w:p>
            <w:pPr>
              <w:spacing w:before="20" w:after="10" w:line="240" w:lineRule="auto"/>
              <w:jc w:val="center"/>
            </w:pPr>
            <w:r>
              <w:rPr>
                <w:color w:val="FFFFFF"/>
                <w:sz w:val="20"/>
              </w:rPr>
              <w:t>Wärmeertrag</w:t>
            </w:r>
          </w:p>
        </w:tc>
      </w:tr>
      <w:tr>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50 °C</w:t>
            </w:r>
          </w:p>
        </w:tc>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2.044 MWh/(ha·a)</w:t>
            </w:r>
          </w:p>
        </w:tc>
      </w:tr>
      <w:tr>
        <w:tc>
          <w:tcPr>
            <w:tcW w:type="dxa" w:w="4320"/>
            <w:vAlign w:val="center"/>
            <w:tcMar w:top="1" w:bottom="1" w:left="0" w:right="0"/>
            <w:tcBorders>
              <w:bottom w:val="single" w:sz="8" w:space="0" w:color="9b9b9b"/>
            </w:tcBorders>
            <w:shd w:val="clear" w:color="auto" w:fill="cfcfcf"/>
          </w:tcPr>
          <w:p>
            <w:pPr>
              <w:spacing w:before="20" w:after="10" w:line="240" w:lineRule="auto"/>
              <w:jc w:val="center"/>
            </w:pPr>
            <w:r>
              <w:rPr>
                <w:sz w:val="20"/>
              </w:rPr>
              <w:t>70 °C</w:t>
            </w:r>
          </w:p>
        </w:tc>
        <w:tc>
          <w:tcPr>
            <w:tcW w:type="dxa" w:w="4320"/>
            <w:vAlign w:val="center"/>
            <w:tcMar w:top="1" w:bottom="1" w:left="0" w:right="0"/>
            <w:tcBorders>
              <w:bottom w:val="single" w:sz="8" w:space="0" w:color="9b9b9b"/>
            </w:tcBorders>
            <w:shd w:val="clear" w:color="auto" w:fill="cfcfcf"/>
          </w:tcPr>
          <w:p>
            <w:pPr>
              <w:spacing w:before="20" w:after="10" w:line="240" w:lineRule="auto"/>
              <w:jc w:val="center"/>
            </w:pPr>
            <w:r>
              <w:rPr>
                <w:sz w:val="20"/>
              </w:rPr>
              <w:t>1.322 MWh/(ha·a)</w:t>
            </w:r>
          </w:p>
        </w:tc>
      </w:tr>
      <w:tr>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90 °C</w:t>
            </w:r>
          </w:p>
        </w:tc>
        <w:tc>
          <w:tcPr>
            <w:tcW w:type="dxa" w:w="4320"/>
            <w:vAlign w:val="center"/>
            <w:tcMar w:top="1" w:bottom="1" w:left="0" w:right="0"/>
            <w:tcBorders>
              <w:bottom w:val="single" w:sz="8" w:space="0" w:color="9b9b9b"/>
            </w:tcBorders>
            <w:shd w:val="clear" w:color="auto" w:fill="f0f0f0"/>
          </w:tcPr>
          <w:p>
            <w:pPr>
              <w:spacing w:before="20" w:after="10" w:line="240" w:lineRule="auto"/>
              <w:jc w:val="center"/>
            </w:pPr>
            <w:r>
              <w:rPr>
                <w:sz w:val="20"/>
              </w:rPr>
              <w:t>759 MWh/(ha·a)</w:t>
            </w:r>
          </w:p>
        </w:tc>
      </w:tr>
    </w:tbl>
    <w:p/>
    <w:p>
      <w:pPr>
        <w:pStyle w:val="Heading3"/>
      </w:pPr>
      <w:r>
        <w:rPr>
          <w:b/>
          <w:color w:val="000000"/>
          <w:sz w:val="32"/>
        </w:rPr>
        <w:bookmarkStart w:id="1" w:name="h_potential_analysis_shallow_geothermal_num"/>
        <w:t xml:space="preserve">1.2.3 </w:t>
        <w:bookmarkEnd w:id="1"/>
      </w:r>
      <w:r>
        <w:rPr>
          <w:b/>
          <w:color w:val="000000"/>
          <w:sz w:val="32"/>
        </w:rPr>
        <w:t>Oberflächennahe Geothermie</w:t>
      </w:r>
    </w:p>
    <w:p>
      <w:pPr>
        <w:jc w:val="both"/>
      </w:pPr>
      <w:r>
        <w:t>Mithilfe von Flächenkollektoren oder Erdwärmesonden kann der Untergrund bis etwa 400 m Tiefe durch oberflächennahe Geothermie zur Wärme- und Kälteversorgung genutzt werden. Eine relevante Auslegungsgröße ist die Wärmeleitfähigkeit des Untergrunds, welche die spezifische Entzugsleistung je Meter und damit die erforderliche Kollektorfläche bzw. Bohrtiefe bestimmt. Bei Bohrungen sind die geologischen und hydrogeologischen Bedingungen (beispielsweise die Lage von Wasserschutzgebieten) zu berücksichtigen.</w:t>
      </w:r>
    </w:p>
    <w:p>
      <w:pPr>
        <w:jc w:val="both"/>
      </w:pPr>
      <w:r>
        <w:t>Im Quartier konnten relevante Flächen für die oberflächennahe Geothermie identifiziert werden. Den größten Anteil an der Quartiersfläche nimmt diesbezüglich der Bodentyp Luvisol mit einer Fläche von 100,0 % ein. Im Quartier sind Wasserschutzgebiete vorhanden. Die Kennwerte der ermittelten Potenziale für oberflächennahe Geothermie sind in der nachfolgenden Tabelle aufgeführt.</w:t>
      </w:r>
    </w:p>
    <w:p>
      <w:pPr>
        <w:pStyle w:val="CaptionStyle"/>
        <w:spacing w:before="40" w:after="0"/>
        <w:jc w:val="center"/>
      </w:pPr>
      <w:r>
        <w:t xml:space="preserve">Tabelle </w:t>
      </w:r>
      <w:bookmarkStart w:id="597" w:name="potential_analysis_shallow_geothermal_num"/>
      <w:fldSimple w:instr="SEQ Tabelle \* ARABIC">
        <w:r>
          <w:t>4</w:t>
        </w:r>
      </w:fldSimple>
      <w:bookmarkEnd w:id="597"/>
      <w:bookmarkStart w:id="potential_analysis_shallow_geothermal" w:name="potential_analysis_shallow_geothermal"/>
      <w:r/>
      <w:bookmarkEnd w:id="potential_analysis_shallow_geothermal"/>
      <w:r>
        <w:t>: Potenzialanalyse: Oberflächennahe Geothermie</w:t>
      </w:r>
    </w:p>
    <w:tbl>
      <w:tblPr>
        <w:tblW w:type="auto" w:w="0"/>
        <w:jc w:val="center"/>
        <w:tblLook w:firstColumn="1" w:firstRow="1" w:lastColumn="0" w:lastRow="0" w:noHBand="0" w:noVBand="1" w:val="04A0"/>
      </w:tblPr>
      <w:tblGrid>
        <w:gridCol w:w="1440"/>
        <w:gridCol w:w="1440"/>
        <w:gridCol w:w="1440"/>
        <w:gridCol w:w="1440"/>
        <w:gridCol w:w="1440"/>
        <w:gridCol w:w="1440"/>
      </w:tblGrid>
      <w:tr>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Bodentyp</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Anteil am Quartier</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Bodentextur-Klasse (ESDAC)</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Mittlere Wärmeleitfähigkeit</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Bandbreite der Wärmeleitfähigkeit</w:t>
            </w:r>
          </w:p>
        </w:tc>
        <w:tc>
          <w:tcPr>
            <w:tcW w:type="dxa" w:w="1440"/>
            <w:shd w:val="clear" w:color="auto" w:fill="343A40"/>
            <w:tcBorders>
              <w:bottom w:val="single" w:sz="22" w:space="0" w:color="#c00000"/>
            </w:tcBorders>
            <w:tcMar w:top="1" w:bottom="1" w:left="0" w:right="0"/>
          </w:tcPr>
          <w:p>
            <w:pPr>
              <w:spacing w:before="20" w:after="10" w:line="240" w:lineRule="auto"/>
              <w:jc w:val="center"/>
            </w:pPr>
            <w:r>
              <w:rPr>
                <w:color w:val="FFFFFF"/>
                <w:sz w:val="20"/>
              </w:rPr>
              <w:t>Humiditätsklasse</w:t>
            </w:r>
          </w:p>
        </w:tc>
      </w:tr>
      <w:tr>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Luvisol</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100,0 %</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mittelfein</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1 W/mK</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0,3 W/mK</w:t>
            </w:r>
          </w:p>
        </w:tc>
        <w:tc>
          <w:tcPr>
            <w:tcW w:type="dxa" w:w="1440"/>
            <w:vAlign w:val="center"/>
            <w:tcMar w:top="1" w:bottom="1" w:left="0" w:right="0"/>
            <w:tcBorders>
              <w:bottom w:val="single" w:sz="8" w:space="0" w:color="9b9b9b"/>
            </w:tcBorders>
            <w:shd w:val="clear" w:color="auto" w:fill="f0f0f0"/>
          </w:tcPr>
          <w:p>
            <w:pPr>
              <w:spacing w:before="20" w:after="10" w:line="240" w:lineRule="auto"/>
              <w:jc w:val="center"/>
            </w:pPr>
            <w:r>
              <w:rPr>
                <w:sz w:val="20"/>
              </w:rPr>
              <w:t>humid (feucht)</w:t>
            </w:r>
          </w:p>
        </w:tc>
      </w:tr>
    </w:tbl>
    <w:p/>
    <w:p>
      <w:pPr>
        <w:pStyle w:val="Heading3"/>
      </w:pPr>
      <w:r>
        <w:rPr>
          <w:b/>
          <w:color w:val="000000"/>
          <w:sz w:val="32"/>
        </w:rPr>
        <w:bookmarkStart w:id="1" w:name="h_potential_analysis_deep_geothermal_num"/>
        <w:t xml:space="preserve">1.2.4 </w:t>
        <w:bookmarkEnd w:id="1"/>
      </w:r>
      <w:r>
        <w:rPr>
          <w:b/>
          <w:color w:val="000000"/>
          <w:sz w:val="32"/>
        </w:rPr>
        <w:t>Tiefe Geothermie</w:t>
      </w:r>
    </w:p>
    <w:p>
      <w:pPr>
        <w:jc w:val="both"/>
      </w:pPr>
      <w:r>
        <w:t>Ab etwa 400 m Tiefe kann der Untergrund durch tiefe Geothermie zur Wärmeversorgung genutzt werden. Bei hydrothermalen Systemen wird Thermalwasser aus wasserführenden Schichten gefördert und nach der Wärmeentnahme wieder in den Untergrund zurückgeführt. Petrothermale Systeme erschließen dagegen die Wärme aus gering durchlässigem Gestein über künstlich geschaffene Fließwege. Bei Bohrungen sind die geologischen und hydrogeologischen Bedingungen (beispielsweise die Lage von Wasserschutzgebieten) zu berücksichtigen.</w:t>
      </w:r>
    </w:p>
    <w:p>
      <w:pPr>
        <w:jc w:val="both"/>
      </w:pPr>
      <w:r>
        <w:t>Im Quartier konnte kein Potenzial für die thermische Nutzung von tiefer Geothermie gefunden werden.</w:t>
      </w:r>
    </w:p>
    <w:p>
      <w:pPr>
        <w:pStyle w:val="Heading2"/>
      </w:pPr>
      <w:r>
        <w:rPr>
          <w:b/>
          <w:color w:val="000000"/>
          <w:sz w:val="36"/>
        </w:rPr>
        <w:bookmarkStart w:id="1" w:name="h_potential_analysis_anthropogenic_sources_num"/>
        <w:t xml:space="preserve">1.3 </w:t>
        <w:bookmarkEnd w:id="1"/>
      </w:r>
      <w:r>
        <w:rPr>
          <w:b/>
          <w:color w:val="000000"/>
          <w:sz w:val="36"/>
        </w:rPr>
        <w:t>Anthropogene Wärmequellen</w:t>
      </w:r>
    </w:p>
    <w:p>
      <w:pPr>
        <w:pStyle w:val="Heading3"/>
      </w:pPr>
      <w:r>
        <w:rPr>
          <w:b/>
          <w:color w:val="000000"/>
          <w:sz w:val="32"/>
        </w:rPr>
        <w:bookmarkStart w:id="1" w:name="h_potential_analysis_waste_heat_num"/>
        <w:t xml:space="preserve">1.3.1 </w:t>
        <w:bookmarkEnd w:id="1"/>
      </w:r>
      <w:r>
        <w:rPr>
          <w:b/>
          <w:color w:val="000000"/>
          <w:sz w:val="32"/>
        </w:rPr>
        <w:t>Abwärme</w:t>
      </w:r>
    </w:p>
    <w:p>
      <w:pPr>
        <w:jc w:val="both"/>
      </w:pPr>
      <w:r>
        <w:t>Abwärme fällt als ungenutztes Nebenprodukt bei technischen Prozessen an und kann bei geeigneter Temperatur und ausreichender Kontinuität direkt oder über Wärmepumpen in Wärmenetze eingebunden werden. Da keine zusätzliche Primärenergie aufgewendet werden muss, ist die Abwärmenutzung eine besonders effiziente und in der Erschließung häufig wirtschaftliche Option. Als potentielle Quellen kommen beispielsweise industrielle und gewerbliche Prozesse, Rechenzentren sowie Abfallverwertungsanlagen infrage. Maßgebliche Auslegungsgrößen sind das Temperaturniveau, die verfügbare Leistung und das zeitliche Anfallprofil der Abwärme, das im Idealfall mit dem Wärmebedarf des Quartiers übereinstimmt. Zu berücksichtigen sind die Entfernung zwischen Quelle und Versorgungsgebiet, die Abhängigkeit von der Betriebsweise und Fortführung des abwärmeliefernden Prozesses sowie die vertragliche Absicherung der langfristigen Bereitstellung.</w:t>
      </w:r>
    </w:p>
    <w:p>
      <w:pPr>
        <w:jc w:val="both"/>
      </w:pPr>
      <w:r>
        <w:t>Im Untersuchungsgebiet mit einem Radius von 2.000 m um das Quartier konnten keine Abwärmepotenziale gefunden werden.</w:t>
      </w:r>
    </w:p>
    <w:p>
      <w:pPr>
        <w:pStyle w:val="Heading3"/>
      </w:pPr>
      <w:r>
        <w:rPr>
          <w:b/>
          <w:color w:val="000000"/>
          <w:sz w:val="32"/>
        </w:rPr>
        <w:bookmarkStart w:id="1" w:name="h_potential_analysis_waste_water_treatment_num"/>
        <w:t xml:space="preserve">1.3.2 </w:t>
        <w:bookmarkEnd w:id="1"/>
      </w:r>
      <w:r>
        <w:rPr>
          <w:b/>
          <w:color w:val="000000"/>
          <w:sz w:val="32"/>
        </w:rPr>
        <w:t>Abwasseraufbereitungsanlagen</w:t>
      </w:r>
    </w:p>
    <w:p>
      <w:pPr>
        <w:jc w:val="both"/>
      </w:pPr>
      <w:r>
        <w:t>Abwasser weist ganzjährig ein vergleichsweise konstantes Temperaturniveau auf und kann beispielsweise als Wärmequelle für Großwärmepumpen genutzt werden. Diesbezüglich sind insbesondere Abwasseraufbereitungsanlagen interessant. Die tatsächlich entziehbare Wärmemenge ist mit dem Anlagenbetreiber abzustimmen, da die wasserrechtlich vorgegebene Mindesteinleittemperatur die nutzbare Temperaturdifferenz begrenzt.</w:t>
      </w:r>
    </w:p>
    <w:p>
      <w:pPr>
        <w:jc w:val="both"/>
      </w:pPr>
      <w:r>
        <w:t>Im Untersuchungsgebiet mit einem Radius von 2.000 m um das Quartier wurden keine Abwasseraufbereitungsanlagen gefunden.</w:t>
      </w:r>
    </w:p>
    <w:p>
      <w:pPr>
        <w:pStyle w:val="Heading3"/>
      </w:pPr>
      <w:r>
        <w:rPr>
          <w:b/>
          <w:color w:val="000000"/>
          <w:sz w:val="32"/>
        </w:rPr>
        <w:bookmarkStart w:id="1" w:name="h_potential_analysis_existing_heat_networks_num"/>
        <w:t xml:space="preserve">1.3.3 </w:t>
        <w:bookmarkEnd w:id="1"/>
      </w:r>
      <w:r>
        <w:rPr>
          <w:b/>
          <w:color w:val="000000"/>
          <w:sz w:val="32"/>
        </w:rPr>
        <w:t>Bestehende Wärmenetze</w:t>
      </w:r>
    </w:p>
    <w:p>
      <w:pPr>
        <w:jc w:val="both"/>
      </w:pPr>
      <w:r>
        <w:t>Bestehende Wärmenetze sind sowohl als mögliche Anschlussoption für das Quartier als auch als Ausgangspunkt für eine gemeinsame Erweiterung des Versorgungsgebiets relevant. Dabei sind die verfügbaren Kapazitäten, das Temperaturniveau und der aktuelle Erzeugungsmix des Netzbetreibers zu berücksichtigen.</w:t>
      </w:r>
    </w:p>
    <w:p>
      <w:pPr>
        <w:jc w:val="both"/>
      </w:pPr>
      <w:r>
        <w:t>Im Untersuchungsradius von 2.000 m wurden 2 bestehende Wärmenetze mit einer geschätzten Gesamtversorgungsfläche von ca. 690.000 ha ermittelt. Das dem Quartier am nächsten gelegene Netz liegt in einer Entfernung von 428 m. Die gefundenen Wärmenetze sind in der nachfolgenden Tabelle aufgeführt.</w:t>
      </w:r>
    </w:p>
    <w:p>
      <w:pPr>
        <w:pStyle w:val="CaptionStyle"/>
        <w:spacing w:before="40" w:after="0"/>
        <w:jc w:val="center"/>
      </w:pPr>
      <w:r>
        <w:t xml:space="preserve">Tabelle </w:t>
      </w:r>
      <w:bookmarkStart w:id="781" w:name="potential_analysis_existing_heat_networks_num"/>
      <w:fldSimple w:instr="SEQ Tabelle \* ARABIC">
        <w:r>
          <w:t>5</w:t>
        </w:r>
      </w:fldSimple>
      <w:bookmarkEnd w:id="781"/>
      <w:bookmarkStart w:id="potential_analysis_existing_heat_networks" w:name="potential_analysis_existing_heat_networks"/>
      <w:r/>
      <w:bookmarkEnd w:id="potential_analysis_existing_heat_networks"/>
      <w:r>
        <w:t>: Potenzialanalyse: Bestehende Wärmenetze</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Wärmenetz</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Entfernung zum Quartier</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Geschätzte Versorgungsfläche</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Wärmenetz 1</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428 m</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330.000 ha</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Wärmenetz 2</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1.577 m</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360.000 ha</w:t>
            </w:r>
          </w:p>
        </w:tc>
      </w:tr>
    </w:tbl>
    <w:p/>
    <w:p>
      <w:pPr>
        <w:pStyle w:val="Heading2"/>
      </w:pPr>
      <w:r>
        <w:rPr>
          <w:b/>
          <w:color w:val="000000"/>
          <w:sz w:val="36"/>
        </w:rPr>
        <w:bookmarkStart w:id="1" w:name="h_potential_analysis_biogenic_fuels_num"/>
        <w:t xml:space="preserve">1.4 </w:t>
        <w:bookmarkEnd w:id="1"/>
      </w:r>
      <w:r>
        <w:rPr>
          <w:b/>
          <w:color w:val="000000"/>
          <w:sz w:val="36"/>
        </w:rPr>
        <w:t>Biogene Brennstoffe</w:t>
      </w:r>
    </w:p>
    <w:p>
      <w:pPr>
        <w:pStyle w:val="Heading3"/>
      </w:pPr>
      <w:r>
        <w:rPr>
          <w:b/>
          <w:color w:val="000000"/>
          <w:sz w:val="32"/>
        </w:rPr>
        <w:bookmarkStart w:id="1" w:name="h_potential_analysis_biogas_num"/>
        <w:t xml:space="preserve">1.4.1 </w:t>
        <w:bookmarkEnd w:id="1"/>
      </w:r>
      <w:r>
        <w:rPr>
          <w:b/>
          <w:color w:val="000000"/>
          <w:sz w:val="32"/>
        </w:rPr>
        <w:t>Biogas</w:t>
      </w:r>
    </w:p>
    <w:p>
      <w:pPr>
        <w:jc w:val="both"/>
      </w:pPr>
      <w:r>
        <w:t>In Biogasanlagen wird aus der anaeroben Vergärung von Substraten ein methanreiches Gas gewonnen, das in einem BHKW verstromt und dessen Abwärme in Wärmenetze eingespeist werden kann. Alternativ lässt sich das Biogas zu Biomethan aufbereiten und über das Erdgasnetz an einem beliebigen Standort im Versorgungsgebiet, beispielsweise in einem Spitzenlastkessel, verwerten. Relevante Auslegungsgrößen sind das im Umkreis verfügbare Substrataufkommen sowie die installierte Feuerungswärmeleistung, aus der sich das nutzbare Wärmepotenzial ableitet. Zu berücksichtigen sind die Entfernung bestehender Anlagen zum Versorgungsgebiet und die daraus resultierende Anbindungsleitung sowie die Konkurrenz zu bestehenden Wärmeabnehmern und die förderrechtlichen Randbedingungen.</w:t>
      </w:r>
    </w:p>
    <w:p>
      <w:pPr>
        <w:jc w:val="both"/>
      </w:pPr>
      <w:r>
        <w:t>Im Untersuchungsgebiet mit einem Radius von 2.000 m um das Quartier wurden keine Biogasanlagen gefunden.</w:t>
      </w:r>
    </w:p>
    <w:p>
      <w:pPr>
        <w:pStyle w:val="Heading3"/>
      </w:pPr>
      <w:r>
        <w:rPr>
          <w:b/>
          <w:color w:val="000000"/>
          <w:sz w:val="32"/>
        </w:rPr>
        <w:bookmarkStart w:id="1" w:name="h_potential_analysis_biomass_num"/>
        <w:t xml:space="preserve">1.4.2 </w:t>
        <w:bookmarkEnd w:id="1"/>
      </w:r>
      <w:r>
        <w:rPr>
          <w:b/>
          <w:color w:val="000000"/>
          <w:sz w:val="32"/>
        </w:rPr>
        <w:t>Biomasse</w:t>
      </w:r>
    </w:p>
    <w:p>
      <w:pPr>
        <w:jc w:val="both"/>
      </w:pPr>
      <w:r>
        <w:t>Biomasse kann in Form von Holzhackschnitzeln, Scheitholz, Pellets oder Rest- und Altholz in Heizwerken und Heizkraftwerken verbrannt und die Wärme in Wärmenetze eingespeist werden. Aufgrund der guten Speicherbarkeit des Brennstoffs und der hohen erreichbaren Vorlauftemperaturen eignen sich Biomasseanlagen sowohl für die Grundlast als auch zur Abdeckung der Spitzenlast. Zu berücksichtigen sind die Nachhaltigkeit und Preisstabilität der Brennstoffbereitstellung, die Nutzungskonkurrenz zu bestehenden Abnehmern und stofflichen Verwertungspfaden, die immissionsschutzrechtlichen Anforderungen an Staub- und Stickoxidemissionen sowie die förderrechtliche Begrenzung des Biomasseanteils.</w:t>
      </w:r>
    </w:p>
    <w:p>
      <w:pPr>
        <w:jc w:val="both"/>
      </w:pPr>
      <w:r>
        <w:t>Im Untersuchungsradius von 30.000 m wurden 1 Biomasseanlagen mit einer installierten Gesamtleistung von 3.100 kW ermittelt. Die nächstgelegene Anlage liegt in einer Entfernung von 21.750 m. Die nachfolgende Tabelle führt die gefundenen Biomasseanlagen auf.</w:t>
      </w:r>
    </w:p>
    <w:p>
      <w:pPr>
        <w:pStyle w:val="CaptionStyle"/>
        <w:spacing w:before="40" w:after="0"/>
        <w:jc w:val="center"/>
      </w:pPr>
      <w:r>
        <w:t xml:space="preserve">Tabelle </w:t>
      </w:r>
      <w:bookmarkStart w:id="638" w:name="potential_analysis_biomass_plants_num"/>
      <w:fldSimple w:instr="SEQ Tabelle \* ARABIC">
        <w:r>
          <w:t>6</w:t>
        </w:r>
      </w:fldSimple>
      <w:bookmarkEnd w:id="638"/>
      <w:bookmarkStart w:id="potential_analysis_biomass_plants" w:name="potential_analysis_biomass_plants"/>
      <w:r/>
      <w:bookmarkEnd w:id="potential_analysis_biomass_plants"/>
      <w:r>
        <w:t>: Potenzialanalyse: Biomasse</w:t>
      </w:r>
    </w:p>
    <w:tbl>
      <w:tblPr>
        <w:tblW w:type="auto" w:w="0"/>
        <w:jc w:val="center"/>
        <w:tblLook w:firstColumn="1" w:firstRow="1" w:lastColumn="0" w:lastRow="0" w:noHBand="0" w:noVBand="1" w:val="04A0"/>
      </w:tblPr>
      <w:tblGrid>
        <w:gridCol w:w="1728"/>
        <w:gridCol w:w="1728"/>
        <w:gridCol w:w="1728"/>
        <w:gridCol w:w="1728"/>
        <w:gridCol w:w="1728"/>
      </w:tblGrid>
      <w:tr>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Biomasseanlage</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Installierte Leistung</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Jahr der Inbetriebnahme</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Typ</w:t>
            </w:r>
          </w:p>
        </w:tc>
        <w:tc>
          <w:tcPr>
            <w:tcW w:type="dxa" w:w="1728"/>
            <w:shd w:val="clear" w:color="auto" w:fill="343A40"/>
            <w:tcBorders>
              <w:bottom w:val="single" w:sz="22" w:space="0" w:color="#c00000"/>
            </w:tcBorders>
            <w:tcMar w:top="1" w:bottom="1" w:left="0" w:right="0"/>
          </w:tcPr>
          <w:p>
            <w:pPr>
              <w:spacing w:before="20" w:after="10" w:line="240" w:lineRule="auto"/>
              <w:jc w:val="center"/>
            </w:pPr>
            <w:r>
              <w:rPr>
                <w:color w:val="FFFFFF"/>
                <w:sz w:val="20"/>
              </w:rPr>
              <w:t>Entfernung zum Quartier</w:t>
            </w:r>
          </w:p>
        </w:tc>
      </w:tr>
      <w:tr>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Biomasseanlage 1</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3.100 kW</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2007</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Firewood</w:t>
            </w:r>
          </w:p>
        </w:tc>
        <w:tc>
          <w:tcPr>
            <w:tcW w:type="dxa" w:w="1728"/>
            <w:vAlign w:val="center"/>
            <w:tcMar w:top="1" w:bottom="1" w:left="0" w:right="0"/>
            <w:tcBorders>
              <w:bottom w:val="single" w:sz="8" w:space="0" w:color="9b9b9b"/>
            </w:tcBorders>
            <w:shd w:val="clear" w:color="auto" w:fill="f0f0f0"/>
          </w:tcPr>
          <w:p>
            <w:pPr>
              <w:spacing w:before="20" w:after="10" w:line="240" w:lineRule="auto"/>
              <w:jc w:val="center"/>
            </w:pPr>
            <w:r>
              <w:rPr>
                <w:sz w:val="20"/>
              </w:rPr>
              <w:t>21.750 m</w:t>
            </w:r>
          </w:p>
        </w:tc>
      </w:tr>
    </w:tbl>
    <w:p/>
    <w:p>
      <w:pPr>
        <w:jc w:val="both"/>
      </w:pPr>
      <w:r>
        <w:t>63,4 % des Untersuchungsgebiets entfallen auf Flächennutzungsklassen der Kategorien Wald- und Gehölzflächen sowie landwirtschaftliche Flächen. Die Flächenangaben beschreiben Nutzungsklassen, welche theoretisch Rohstoffpotenziale zur Biomassenutzung bieten könnten. Der tatsächlich verfügbare Anteil hängt von Eigentumsverhältnissen, bestehender Nutzung, naturschutzfachlichen Vorgaben und der Konkurrenz zur stofflichen Verwertung ab. Die nachfolgende Tabelle stellt die Aufteilung der geeigneten Flächen dar.</w:t>
      </w:r>
    </w:p>
    <w:p>
      <w:pPr>
        <w:pStyle w:val="CaptionStyle"/>
        <w:spacing w:before="40" w:after="0"/>
        <w:jc w:val="center"/>
      </w:pPr>
      <w:r>
        <w:t xml:space="preserve">Tabelle </w:t>
      </w:r>
      <w:bookmarkStart w:id="564" w:name="potential_analysis_biomass_areas_num"/>
      <w:fldSimple w:instr="SEQ Tabelle \* ARABIC">
        <w:r>
          <w:t>7</w:t>
        </w:r>
      </w:fldSimple>
      <w:bookmarkEnd w:id="564"/>
      <w:bookmarkStart w:id="potential_analysis_biomass_areas" w:name="potential_analysis_biomass_areas"/>
      <w:r/>
      <w:bookmarkEnd w:id="potential_analysis_biomass_areas"/>
      <w:r>
        <w:t>: Potenzialanalyse: Für Biomasse geeignete Flächen</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Flächenkategorie</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Fläche</w:t>
            </w:r>
          </w:p>
        </w:tc>
        <w:tc>
          <w:tcPr>
            <w:tcW w:type="dxa" w:w="2880"/>
            <w:shd w:val="clear" w:color="auto" w:fill="343A40"/>
            <w:tcBorders>
              <w:bottom w:val="single" w:sz="22" w:space="0" w:color="#c00000"/>
            </w:tcBorders>
            <w:tcMar w:top="1" w:bottom="1" w:left="0" w:right="0"/>
          </w:tcPr>
          <w:p>
            <w:pPr>
              <w:spacing w:before="20" w:after="10" w:line="240" w:lineRule="auto"/>
              <w:jc w:val="center"/>
            </w:pPr>
            <w:r>
              <w:rPr>
                <w:color w:val="FFFFFF"/>
                <w:sz w:val="20"/>
              </w:rPr>
              <w:t>Anteil am Untersuchungsgebiet</w:t>
            </w:r>
          </w:p>
        </w:tc>
      </w:tr>
      <w:tr>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Landwirtschaftliche Flächen</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134.574 ha</w:t>
            </w:r>
          </w:p>
        </w:tc>
        <w:tc>
          <w:tcPr>
            <w:tcW w:type="dxa" w:w="2880"/>
            <w:vAlign w:val="center"/>
            <w:tcMar w:top="1" w:bottom="1" w:left="0" w:right="0"/>
            <w:tcBorders>
              <w:bottom w:val="single" w:sz="8" w:space="0" w:color="9b9b9b"/>
            </w:tcBorders>
            <w:shd w:val="clear" w:color="auto" w:fill="f0f0f0"/>
          </w:tcPr>
          <w:p>
            <w:pPr>
              <w:spacing w:before="20" w:after="10" w:line="240" w:lineRule="auto"/>
              <w:jc w:val="center"/>
            </w:pPr>
            <w:r>
              <w:rPr>
                <w:sz w:val="20"/>
              </w:rPr>
              <w:t>47,7 %</w:t>
            </w:r>
          </w:p>
        </w:tc>
      </w:tr>
      <w:tr>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Wald- und Gehölzflächen</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44.516 ha</w:t>
            </w:r>
          </w:p>
        </w:tc>
        <w:tc>
          <w:tcPr>
            <w:tcW w:type="dxa" w:w="2880"/>
            <w:vAlign w:val="center"/>
            <w:tcMar w:top="1" w:bottom="1" w:left="0" w:right="0"/>
            <w:tcBorders>
              <w:bottom w:val="single" w:sz="8" w:space="0" w:color="9b9b9b"/>
            </w:tcBorders>
            <w:shd w:val="clear" w:color="auto" w:fill="cfcfcf"/>
          </w:tcPr>
          <w:p>
            <w:pPr>
              <w:spacing w:before="20" w:after="10" w:line="240" w:lineRule="auto"/>
              <w:jc w:val="center"/>
            </w:pPr>
            <w:r>
              <w:rPr>
                <w:sz w:val="20"/>
              </w:rPr>
              <w:t>15,8 %</w:t>
            </w:r>
          </w:p>
        </w:tc>
      </w:tr>
    </w:tbl>
    <w:p/>
    <w:p>
      <w:pPr>
        <w:pStyle w:val="Heading2"/>
      </w:pPr>
      <w:r>
        <w:rPr>
          <w:b/>
          <w:color w:val="000000"/>
          <w:sz w:val="36"/>
        </w:rPr>
        <w:bookmarkStart w:id="1" w:name="h_potential_analysis_renewable_power_sources_num"/>
        <w:t xml:space="preserve">1.5 </w:t>
        <w:bookmarkEnd w:id="1"/>
      </w:r>
      <w:r>
        <w:rPr>
          <w:b/>
          <w:color w:val="000000"/>
          <w:sz w:val="36"/>
        </w:rPr>
        <w:t>Regenerative Stromerzeugung</w:t>
      </w:r>
    </w:p>
    <w:p>
      <w:pPr>
        <w:jc w:val="both"/>
      </w:pPr>
      <w:r>
        <w:t>Erneuerbar erzeugter Strom aus Windenergie-, Photovoltaik- und Wasserkraftanlagen trägt durch die Sektorenkopplung zur Wärmeversorgung bei, indem er den Antriebsstrom für Großwärmepumpen, Elektrodenkessel oder Power-to-Heat-Anwendungen bereitstellt. Da beispielsweise die Treibhausgasbilanz von Wärmepumpen maßgeblich vom Emissionsfaktor des bezogenen Stroms abhängt, kann die Verfügbarkeit grünen Stroms einen wichtigen Beitrag für die Dekarbonisierung von Wärmenetzen beitragen.</w:t>
      </w:r>
    </w:p>
    <w:p>
      <w:pPr>
        <w:jc w:val="both"/>
      </w:pPr>
      <w:r>
        <w:t>Im Untersuchungsradius von 20.000 m wurden 62 Anlagen zur regenerativen Stromerzeugung mit einer installierten Gesamtleistung von 120.408 kW ermittelt. Untersucht wurden die Technologien Windenergie, Photovoltaik, Wasserkraft. Die Ergebnisse je Technologie sind in der nachfolgenden Tabelle aufgeführt.</w:t>
      </w:r>
    </w:p>
    <w:p>
      <w:pPr>
        <w:pStyle w:val="CaptionStyle"/>
        <w:spacing w:before="40" w:after="0"/>
        <w:jc w:val="center"/>
      </w:pPr>
      <w:r>
        <w:t xml:space="preserve">Tabelle </w:t>
      </w:r>
      <w:bookmarkStart w:id="117" w:name="potential_analysis_renewable_power_sources_num"/>
      <w:fldSimple w:instr="SEQ Tabelle \* ARABIC">
        <w:r>
          <w:t>8</w:t>
        </w:r>
      </w:fldSimple>
      <w:bookmarkEnd w:id="117"/>
      <w:bookmarkStart w:id="potential_analysis_renewable_power_sources" w:name="potential_analysis_renewable_power_sources"/>
      <w:r/>
      <w:bookmarkEnd w:id="potential_analysis_renewable_power_sources"/>
      <w:r>
        <w:t>: Potenzialanalyse: Erneuerbare Stromerzeugung</w:t>
      </w:r>
    </w:p>
    <w:tbl>
      <w:tblPr>
        <w:tblW w:type="auto" w:w="0"/>
        <w:jc w:val="center"/>
        <w:tblLook w:firstColumn="1" w:firstRow="1" w:lastColumn="0" w:lastRow="0" w:noHBand="0" w:noVBand="1" w:val="04A0"/>
      </w:tblPr>
      <w:tblGrid>
        <w:gridCol w:w="2160"/>
        <w:gridCol w:w="2160"/>
        <w:gridCol w:w="2160"/>
        <w:gridCol w:w="2160"/>
      </w:tblGrid>
      <w:tr>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Technologie</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Anzahl Anlagen</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Installierte Leistung</w:t>
            </w:r>
          </w:p>
        </w:tc>
        <w:tc>
          <w:tcPr>
            <w:tcW w:type="dxa" w:w="2160"/>
            <w:shd w:val="clear" w:color="auto" w:fill="343A40"/>
            <w:tcBorders>
              <w:bottom w:val="single" w:sz="22" w:space="0" w:color="#c00000"/>
            </w:tcBorders>
            <w:tcMar w:top="1" w:bottom="1" w:left="0" w:right="0"/>
          </w:tcPr>
          <w:p>
            <w:pPr>
              <w:spacing w:before="20" w:after="10" w:line="240" w:lineRule="auto"/>
              <w:jc w:val="center"/>
            </w:pPr>
            <w:r>
              <w:rPr>
                <w:color w:val="FFFFFF"/>
                <w:sz w:val="20"/>
              </w:rPr>
              <w:t>Entfernung nächste Anlage</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Windenergie</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50</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109.662 kW</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5.603 m</w:t>
            </w:r>
          </w:p>
        </w:tc>
      </w:tr>
      <w:tr>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Photovoltaik</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6</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10.094 kW</w:t>
            </w:r>
          </w:p>
        </w:tc>
        <w:tc>
          <w:tcPr>
            <w:tcW w:type="dxa" w:w="2160"/>
            <w:vAlign w:val="center"/>
            <w:tcMar w:top="1" w:bottom="1" w:left="0" w:right="0"/>
            <w:tcBorders>
              <w:bottom w:val="single" w:sz="8" w:space="0" w:color="9b9b9b"/>
            </w:tcBorders>
            <w:shd w:val="clear" w:color="auto" w:fill="cfcfcf"/>
          </w:tcPr>
          <w:p>
            <w:pPr>
              <w:spacing w:before="20" w:after="10" w:line="240" w:lineRule="auto"/>
              <w:jc w:val="center"/>
            </w:pPr>
            <w:r>
              <w:rPr>
                <w:sz w:val="20"/>
              </w:rPr>
              <w:t>2.226 m</w:t>
            </w:r>
          </w:p>
        </w:tc>
      </w:tr>
      <w:tr>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Wasserkraft</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6</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651 kW</w:t>
            </w:r>
          </w:p>
        </w:tc>
        <w:tc>
          <w:tcPr>
            <w:tcW w:type="dxa" w:w="2160"/>
            <w:vAlign w:val="center"/>
            <w:tcMar w:top="1" w:bottom="1" w:left="0" w:right="0"/>
            <w:tcBorders>
              <w:bottom w:val="single" w:sz="8" w:space="0" w:color="9b9b9b"/>
            </w:tcBorders>
            <w:shd w:val="clear" w:color="auto" w:fill="f0f0f0"/>
          </w:tcPr>
          <w:p>
            <w:pPr>
              <w:spacing w:before="20" w:after="10" w:line="240" w:lineRule="auto"/>
              <w:jc w:val="center"/>
            </w:pPr>
            <w:r>
              <w:rPr>
                <w:sz w:val="20"/>
              </w:rPr>
              <w:t>3.931 m</w:t>
            </w:r>
          </w:p>
        </w:tc>
      </w:tr>
    </w:tbl>
    <w:p/>
    <w:sectPr w:rsidR="00FC693F" w:rsidRPr="0006063C" w:rsidSect="00034616">
      <w:footerReference w:type="default" r:id="rId10"/>
      <w:type w:val="continuous"/>
      <w:pgSz w:w="12240" w:h="15840"/>
      <w:pgMar w:top="1440" w:right="1800" w:bottom="1440" w:left="1800" w:header="720" w:footer="720" w:gutter="0"/>
      <w:cols w:space="720"/>
      <w:docGrid w:linePitch="360"/>
      <w:pgNumType w:star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685800" cy="292607"/>
          <wp:docPr id="1" name="Picture 1"/>
          <wp:cNvGraphicFramePr>
            <a:graphicFrameLocks noChangeAspect="1"/>
          </wp:cNvGraphicFramePr>
          <a:graphic>
            <a:graphicData uri="http://schemas.openxmlformats.org/drawingml/2006/picture">
              <pic:pic>
                <pic:nvPicPr>
                  <pic:cNvPr id="0" name="npro_logo_small.png"/>
                  <pic:cNvPicPr/>
                </pic:nvPicPr>
                <pic:blipFill>
                  <a:blip r:embed="rId1"/>
                  <a:stretch>
                    <a:fillRect/>
                  </a:stretch>
                </pic:blipFill>
                <pic:spPr>
                  <a:xfrm>
                    <a:off x="0" y="0"/>
                    <a:ext cx="685800" cy="292607"/>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rPr>
      <w:rFonts w:ascii="Calibri" w:hAnsi="Calibri"/>
      <w:i/>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nPro Ergebnisbericht</dc:title>
  <dc:subject/>
  <dc:creator>Lisa Weidinger</dc:creator>
  <cp:keywords>nPro Energy</cp:keywords>
  <dc:description>Dieser Ergebnisbericht wurde mit der nPro Software erstellt.</dc:description>
  <cp:lastModifiedBy/>
  <cp:revision>1</cp:revision>
  <dcterms:created xsi:type="dcterms:W3CDTF">2026-09-09T13:43:26Z</dcterms:created>
  <dcterms:modified xsi:type="dcterms:W3CDTF">2026-09-09T13:43:26Z</dcterms:modified>
  <cp:category/>
</cp:coreProperties>
</file>